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EA70" w14:textId="7DACEB4A" w:rsidR="000B6BCE" w:rsidRPr="00C46136" w:rsidRDefault="00C066F7">
      <w:pPr>
        <w:rPr>
          <w:rFonts w:ascii="Times New Roman" w:hAnsi="Times New Roman" w:cs="Times New Roman"/>
        </w:rPr>
      </w:pPr>
      <w:r w:rsidRPr="00C46136">
        <w:rPr>
          <w:rFonts w:ascii="Times New Roman" w:hAnsi="Times New Roman" w:cs="Times New Roman"/>
        </w:rPr>
        <w:t>Extrait 1</w:t>
      </w:r>
      <w:r w:rsidR="00AC4643">
        <w:rPr>
          <w:rFonts w:ascii="Times New Roman" w:hAnsi="Times New Roman" w:cs="Times New Roman"/>
        </w:rPr>
        <w:t xml:space="preserve"> : </w:t>
      </w:r>
      <w:r w:rsidR="00AC4643" w:rsidRPr="000A3CDE">
        <w:rPr>
          <w:rFonts w:ascii="Times New Roman" w:hAnsi="Times New Roman"/>
          <w:i/>
          <w:iCs/>
        </w:rPr>
        <w:t>Boucle du Niger</w:t>
      </w:r>
      <w:r w:rsidR="00AC4643">
        <w:rPr>
          <w:rFonts w:ascii="Times New Roman" w:hAnsi="Times New Roman"/>
          <w:i/>
          <w:iCs/>
        </w:rPr>
        <w:t xml:space="preserve"> </w:t>
      </w:r>
      <w:r w:rsidR="00AC4643" w:rsidRPr="000A3CDE">
        <w:rPr>
          <w:rFonts w:ascii="Times New Roman" w:hAnsi="Times New Roman"/>
          <w:i/>
          <w:iCs/>
        </w:rPr>
        <w:t>(1975, Introduction)</w:t>
      </w:r>
    </w:p>
    <w:p w14:paraId="4C0A8BF3" w14:textId="77777777" w:rsidR="00115897" w:rsidRPr="00C46136" w:rsidRDefault="00115897">
      <w:pPr>
        <w:rPr>
          <w:rFonts w:ascii="Times New Roman" w:hAnsi="Times New Roman" w:cs="Times New Roman"/>
        </w:rPr>
      </w:pPr>
    </w:p>
    <w:p w14:paraId="4BA7CB22" w14:textId="62A700EC" w:rsidR="00115897"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Ce livre est une dette : une dette envers un pays, l’intérieur de la Boucle du Niger dont les paysages</w:t>
      </w:r>
      <w:r w:rsidR="00601C06" w:rsidRPr="000A3CDE">
        <w:rPr>
          <w:rFonts w:ascii="Times New Roman" w:hAnsi="Times New Roman"/>
          <w:i/>
          <w:iCs/>
          <w:sz w:val="24"/>
          <w:szCs w:val="24"/>
        </w:rPr>
        <w:t xml:space="preserve"> et les</w:t>
      </w:r>
      <w:r w:rsidRPr="000A3CDE">
        <w:rPr>
          <w:rFonts w:ascii="Times New Roman" w:hAnsi="Times New Roman"/>
          <w:i/>
          <w:iCs/>
        </w:rPr>
        <w:t xml:space="preserve"> </w:t>
      </w:r>
      <w:r w:rsidRPr="000A3CDE">
        <w:rPr>
          <w:rFonts w:ascii="Times New Roman" w:hAnsi="Times New Roman"/>
          <w:i/>
          <w:iCs/>
          <w:sz w:val="24"/>
          <w:szCs w:val="24"/>
        </w:rPr>
        <w:t xml:space="preserve">hommes ont été pour moi source de joie et de passions. </w:t>
      </w:r>
    </w:p>
    <w:p w14:paraId="7F28B9BB" w14:textId="77777777" w:rsidR="00115897"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 xml:space="preserve">Mon contact avec le pays eut lieu en janvier 1957, à Douentza. La beauté du site de ce village m’enchanta et, plus encore, le sentiment qu’au-delà s’ouvrait un monde nouveau. A Douentza finissait un ensemble géographique que je considérais comme une marche du Delta intérieur du Niger. J’en connaissais les habitants, les combinaisons ethniques, les rythmes adaptés à l’écologie, une riche et épaisse complication humaine répondant à une certaine générosité de la nature. </w:t>
      </w:r>
    </w:p>
    <w:p w14:paraId="586A27BA" w14:textId="68A15E04" w:rsidR="00115897"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Vers le S-O s’articulait le lourd Pays Dogon dont le coin dominait comme une proue Douentza. Dans ce labyrinthe d’écharpes, de tables de grès, de chaos rocheux séparant des vallons isolés, s’étendait un pays caché, villages dis</w:t>
      </w:r>
      <w:r w:rsidR="00601C06" w:rsidRPr="000A3CDE">
        <w:rPr>
          <w:rFonts w:ascii="Times New Roman" w:hAnsi="Times New Roman"/>
          <w:i/>
          <w:iCs/>
          <w:sz w:val="24"/>
          <w:szCs w:val="24"/>
        </w:rPr>
        <w:t>simulés, écho surprenant des f</w:t>
      </w:r>
      <w:r w:rsidRPr="000A3CDE">
        <w:rPr>
          <w:rFonts w:ascii="Times New Roman" w:hAnsi="Times New Roman"/>
          <w:i/>
          <w:iCs/>
          <w:sz w:val="24"/>
          <w:szCs w:val="24"/>
        </w:rPr>
        <w:t xml:space="preserve">alaises, îlots de champs confinés dans la stérilité rocheuse. J’en soupçonnais la densité de l’organisation humaine en même temps que son émiettement et son particularisme. De ce grand pays il m’aurait été très agréable d’en faire l’étude et je ne doutais pas avec l’optimisme des débuts d’avoir dans l’avenir l’occasion, le temps, les moyens nécessaires de le faire. </w:t>
      </w:r>
    </w:p>
    <w:p w14:paraId="7B8300E1" w14:textId="77777777" w:rsidR="00115897"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 xml:space="preserve">Mais c’était vers l’E que mon regard était tourné. La silhouette fantastique de la Gandamia rougeoyant au soleil couchant de mon arrivée, me fit une profonde impression. Parcourant le pays jusqu’à Hombori je fus frappé de l’opposition architecturale des Monts gigantesques et des plaines immensément monotones qui se déroulent à leurs pieds. D’un côté un monde tout en lignes verticales, parois lisses de plusieurs centaines de mètres, pinacles déchiquetés, profonds ravins. De l’autre, des glacis d’une parfaite horizontalité, tendus jusqu’à l’horizon des brumes de poussière, jusqu’à la retombée du ciel. </w:t>
      </w:r>
    </w:p>
    <w:p w14:paraId="3A0714F1" w14:textId="05BB062D" w:rsidR="00C46136"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Un pays si beau, d’une telle grandeur, je le créditai sans hésiter d’un contenu humain richement frappé selon une confusion qui m’est coutumière et dont je n’essaie pas de me défendre. Mon premier séjour à Homb</w:t>
      </w:r>
      <w:r w:rsidR="00C46136" w:rsidRPr="000A3CDE">
        <w:rPr>
          <w:rFonts w:ascii="Times New Roman" w:hAnsi="Times New Roman"/>
          <w:i/>
          <w:iCs/>
          <w:sz w:val="24"/>
          <w:szCs w:val="24"/>
        </w:rPr>
        <w:t>o</w:t>
      </w:r>
      <w:r w:rsidRPr="000A3CDE">
        <w:rPr>
          <w:rFonts w:ascii="Times New Roman" w:hAnsi="Times New Roman"/>
          <w:i/>
          <w:iCs/>
          <w:sz w:val="24"/>
          <w:szCs w:val="24"/>
        </w:rPr>
        <w:t>ri me confirma dans cette idée que la valeur géographique du Gourma était bien articulée</w:t>
      </w:r>
      <w:r w:rsidR="00C46136" w:rsidRPr="000A3CDE">
        <w:rPr>
          <w:rFonts w:ascii="Times New Roman" w:hAnsi="Times New Roman"/>
          <w:i/>
          <w:iCs/>
          <w:sz w:val="24"/>
          <w:szCs w:val="24"/>
        </w:rPr>
        <w:t>,</w:t>
      </w:r>
      <w:r w:rsidRPr="000A3CDE">
        <w:rPr>
          <w:rFonts w:ascii="Times New Roman" w:hAnsi="Times New Roman"/>
          <w:i/>
          <w:iCs/>
          <w:sz w:val="24"/>
          <w:szCs w:val="24"/>
        </w:rPr>
        <w:t xml:space="preserve"> globalement</w:t>
      </w:r>
      <w:r w:rsidR="00C46136" w:rsidRPr="000A3CDE">
        <w:rPr>
          <w:rFonts w:ascii="Times New Roman" w:hAnsi="Times New Roman"/>
          <w:i/>
          <w:iCs/>
          <w:sz w:val="24"/>
          <w:szCs w:val="24"/>
        </w:rPr>
        <w:t>,</w:t>
      </w:r>
      <w:r w:rsidRPr="000A3CDE">
        <w:rPr>
          <w:rFonts w:ascii="Times New Roman" w:hAnsi="Times New Roman"/>
          <w:i/>
          <w:iCs/>
          <w:sz w:val="24"/>
          <w:szCs w:val="24"/>
        </w:rPr>
        <w:t xml:space="preserve"> autour de l’opposition architecturale grandiose. Les Monts aux vieux villages dissimulés </w:t>
      </w:r>
      <w:proofErr w:type="gramStart"/>
      <w:r w:rsidRPr="000A3CDE">
        <w:rPr>
          <w:rFonts w:ascii="Times New Roman" w:hAnsi="Times New Roman"/>
          <w:i/>
          <w:iCs/>
          <w:sz w:val="24"/>
          <w:szCs w:val="24"/>
        </w:rPr>
        <w:t>des Dogon</w:t>
      </w:r>
      <w:proofErr w:type="gramEnd"/>
      <w:r w:rsidRPr="000A3CDE">
        <w:rPr>
          <w:rFonts w:ascii="Times New Roman" w:hAnsi="Times New Roman"/>
          <w:i/>
          <w:iCs/>
          <w:sz w:val="24"/>
          <w:szCs w:val="24"/>
        </w:rPr>
        <w:t xml:space="preserve"> et des Sonraï. La plaine où je vis pour la première fois </w:t>
      </w:r>
      <w:proofErr w:type="gramStart"/>
      <w:r w:rsidRPr="000A3CDE">
        <w:rPr>
          <w:rFonts w:ascii="Times New Roman" w:hAnsi="Times New Roman"/>
          <w:i/>
          <w:iCs/>
          <w:sz w:val="24"/>
          <w:szCs w:val="24"/>
        </w:rPr>
        <w:t>les Peul</w:t>
      </w:r>
      <w:proofErr w:type="gramEnd"/>
      <w:r w:rsidRPr="000A3CDE">
        <w:rPr>
          <w:rFonts w:ascii="Times New Roman" w:hAnsi="Times New Roman"/>
          <w:i/>
          <w:iCs/>
          <w:sz w:val="24"/>
          <w:szCs w:val="24"/>
        </w:rPr>
        <w:t xml:space="preserve"> aux oreilles décorées de laine rouge, les paillotes légères, les tentes Touareg, tout un univers de mobilité, d’implantation légère, de dénuement saharien. D’un côté une organisation humaine stratifiée plaçant les hommes des différents groupes ethniques à un certain étage, celui-ci impliquant un système de relation spécifique avec la nature </w:t>
      </w:r>
      <w:r w:rsidR="00B661F5" w:rsidRPr="000A3CDE">
        <w:rPr>
          <w:rFonts w:ascii="Times New Roman" w:hAnsi="Times New Roman"/>
          <w:i/>
          <w:iCs/>
          <w:sz w:val="24"/>
          <w:szCs w:val="24"/>
        </w:rPr>
        <w:t xml:space="preserve">et les hommes de la plaine, comme avec la nature de la montagne. </w:t>
      </w:r>
    </w:p>
    <w:p w14:paraId="6BC5B0AC" w14:textId="3CBB3B3E" w:rsidR="00115897"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 xml:space="preserve">Dans ce jeu de verticalité la dimension horizontale est à la fois économisée : champs minuscules superposés, habitat à étages, et faiblement conceptualisée : absence de terroirs projetables sur un plan, faiblesse des liens entre villages du même étage. L’espace est organisé, exploité selon les voies ascendantes ou descendantes d’hommes pour lesquels les péripéties de l’histoire ont signifié des migrations entre les différents niveaux d’une échelle quasi verticale. </w:t>
      </w:r>
    </w:p>
    <w:p w14:paraId="1A1796EB" w14:textId="06A65122" w:rsidR="00115897"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 xml:space="preserve">De l’autre côté, l’étalement, l’étirement, la dispersion sur le même plan d’un horizon illimité, de groupes humains variés mais tous prodigues d’espace, refusant les limites, les frontières, </w:t>
      </w:r>
      <w:r w:rsidRPr="000A3CDE">
        <w:rPr>
          <w:rFonts w:ascii="Times New Roman" w:hAnsi="Times New Roman"/>
          <w:i/>
          <w:iCs/>
          <w:sz w:val="24"/>
          <w:szCs w:val="24"/>
        </w:rPr>
        <w:lastRenderedPageBreak/>
        <w:t>une quelconque</w:t>
      </w:r>
      <w:r w:rsidR="00B661F5" w:rsidRPr="000A3CDE">
        <w:rPr>
          <w:rFonts w:ascii="Times New Roman" w:hAnsi="Times New Roman"/>
          <w:i/>
          <w:iCs/>
          <w:sz w:val="24"/>
          <w:szCs w:val="24"/>
        </w:rPr>
        <w:t xml:space="preserve"> situation définitive, défiant l’observateur même</w:t>
      </w:r>
      <w:r w:rsidRPr="000A3CDE">
        <w:rPr>
          <w:rFonts w:ascii="Times New Roman" w:hAnsi="Times New Roman"/>
          <w:i/>
          <w:iCs/>
          <w:sz w:val="24"/>
          <w:szCs w:val="24"/>
        </w:rPr>
        <w:t xml:space="preserve"> au nivea</w:t>
      </w:r>
      <w:r w:rsidR="00E461C7" w:rsidRPr="000A3CDE">
        <w:rPr>
          <w:rFonts w:ascii="Times New Roman" w:hAnsi="Times New Roman"/>
          <w:i/>
          <w:iCs/>
          <w:sz w:val="24"/>
          <w:szCs w:val="24"/>
        </w:rPr>
        <w:t>u des localisations momentanées</w:t>
      </w:r>
      <w:r w:rsidRPr="000A3CDE">
        <w:rPr>
          <w:rFonts w:ascii="Times New Roman" w:hAnsi="Times New Roman"/>
          <w:i/>
          <w:iCs/>
          <w:sz w:val="24"/>
          <w:szCs w:val="24"/>
        </w:rPr>
        <w:t>, brouillant l</w:t>
      </w:r>
      <w:r w:rsidR="00E461C7" w:rsidRPr="000A3CDE">
        <w:rPr>
          <w:rFonts w:ascii="Times New Roman" w:hAnsi="Times New Roman"/>
          <w:i/>
          <w:iCs/>
          <w:sz w:val="24"/>
          <w:szCs w:val="24"/>
        </w:rPr>
        <w:t>es cartes que l’obsession du géographe</w:t>
      </w:r>
      <w:r w:rsidRPr="000A3CDE">
        <w:rPr>
          <w:rFonts w:ascii="Times New Roman" w:hAnsi="Times New Roman"/>
          <w:i/>
          <w:iCs/>
          <w:sz w:val="24"/>
          <w:szCs w:val="24"/>
        </w:rPr>
        <w:t xml:space="preserve"> tente de confiner. </w:t>
      </w:r>
    </w:p>
    <w:p w14:paraId="16058685" w14:textId="62DAA137" w:rsidR="00115897" w:rsidRPr="000A3CDE" w:rsidRDefault="00115897" w:rsidP="00115897">
      <w:pPr>
        <w:pStyle w:val="NormalWeb"/>
        <w:jc w:val="both"/>
        <w:rPr>
          <w:rFonts w:ascii="Times New Roman" w:hAnsi="Times New Roman"/>
          <w:i/>
          <w:iCs/>
          <w:sz w:val="24"/>
          <w:szCs w:val="24"/>
        </w:rPr>
      </w:pPr>
      <w:r w:rsidRPr="000A3CDE">
        <w:rPr>
          <w:rFonts w:ascii="Times New Roman" w:hAnsi="Times New Roman"/>
          <w:i/>
          <w:iCs/>
          <w:sz w:val="24"/>
          <w:szCs w:val="24"/>
        </w:rPr>
        <w:t>A cette construction mentale que je me suis faite dès le début de l’intérieur de la Boucle du Niger, j</w:t>
      </w:r>
      <w:r w:rsidR="00B661F5" w:rsidRPr="000A3CDE">
        <w:rPr>
          <w:rFonts w:ascii="Times New Roman" w:hAnsi="Times New Roman"/>
          <w:i/>
          <w:iCs/>
          <w:sz w:val="24"/>
          <w:szCs w:val="24"/>
        </w:rPr>
        <w:t xml:space="preserve">e suis largement resté </w:t>
      </w:r>
      <w:proofErr w:type="gramStart"/>
      <w:r w:rsidR="00B661F5" w:rsidRPr="000A3CDE">
        <w:rPr>
          <w:rFonts w:ascii="Times New Roman" w:hAnsi="Times New Roman"/>
          <w:i/>
          <w:iCs/>
          <w:sz w:val="24"/>
          <w:szCs w:val="24"/>
        </w:rPr>
        <w:t>fidèle</w:t>
      </w:r>
      <w:r w:rsidRPr="000A3CDE">
        <w:rPr>
          <w:rFonts w:ascii="Times New Roman" w:hAnsi="Times New Roman"/>
          <w:i/>
          <w:iCs/>
          <w:sz w:val="24"/>
          <w:szCs w:val="24"/>
        </w:rPr>
        <w:t xml:space="preserve">  (</w:t>
      </w:r>
      <w:proofErr w:type="gramEnd"/>
      <w:r w:rsidRPr="000A3CDE">
        <w:rPr>
          <w:rFonts w:ascii="Times New Roman" w:hAnsi="Times New Roman"/>
          <w:i/>
          <w:iCs/>
          <w:sz w:val="24"/>
          <w:szCs w:val="24"/>
        </w:rPr>
        <w:t>1975, Introduction).</w:t>
      </w:r>
    </w:p>
    <w:p w14:paraId="6D066B4A" w14:textId="77777777" w:rsidR="00115897" w:rsidRPr="00C46136" w:rsidRDefault="00115897">
      <w:pPr>
        <w:rPr>
          <w:rFonts w:ascii="Times New Roman" w:hAnsi="Times New Roman" w:cs="Times New Roman"/>
        </w:rPr>
      </w:pPr>
    </w:p>
    <w:p w14:paraId="2A4EE0F5" w14:textId="77777777" w:rsidR="00C066F7" w:rsidRPr="00C46136" w:rsidRDefault="00C066F7">
      <w:pPr>
        <w:rPr>
          <w:rFonts w:ascii="Times New Roman" w:hAnsi="Times New Roman" w:cs="Times New Roman"/>
        </w:rPr>
      </w:pPr>
    </w:p>
    <w:p w14:paraId="2F18E036" w14:textId="77777777" w:rsidR="00C066F7" w:rsidRPr="00C46136" w:rsidRDefault="00C066F7">
      <w:pPr>
        <w:rPr>
          <w:rFonts w:ascii="Times New Roman" w:hAnsi="Times New Roman" w:cs="Times New Roman"/>
        </w:rPr>
      </w:pPr>
    </w:p>
    <w:sectPr w:rsidR="00C066F7" w:rsidRPr="00C46136" w:rsidSect="00D55B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6F7"/>
    <w:rsid w:val="000A3CDE"/>
    <w:rsid w:val="000B6BCE"/>
    <w:rsid w:val="00115897"/>
    <w:rsid w:val="00601C06"/>
    <w:rsid w:val="006B6BBC"/>
    <w:rsid w:val="00AC4643"/>
    <w:rsid w:val="00AF0AFF"/>
    <w:rsid w:val="00B661F5"/>
    <w:rsid w:val="00C066F7"/>
    <w:rsid w:val="00C46136"/>
    <w:rsid w:val="00D55BEA"/>
    <w:rsid w:val="00E461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14ABF"/>
  <w14:defaultImageDpi w14:val="300"/>
  <w15:docId w15:val="{8CF14DBF-BD7D-4124-8FD8-978EAF6C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589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4052">
      <w:bodyDiv w:val="1"/>
      <w:marLeft w:val="0"/>
      <w:marRight w:val="0"/>
      <w:marTop w:val="0"/>
      <w:marBottom w:val="0"/>
      <w:divBdr>
        <w:top w:val="none" w:sz="0" w:space="0" w:color="auto"/>
        <w:left w:val="none" w:sz="0" w:space="0" w:color="auto"/>
        <w:bottom w:val="none" w:sz="0" w:space="0" w:color="auto"/>
        <w:right w:val="none" w:sz="0" w:space="0" w:color="auto"/>
      </w:divBdr>
      <w:divsChild>
        <w:div w:id="212737536">
          <w:marLeft w:val="0"/>
          <w:marRight w:val="0"/>
          <w:marTop w:val="0"/>
          <w:marBottom w:val="0"/>
          <w:divBdr>
            <w:top w:val="none" w:sz="0" w:space="0" w:color="auto"/>
            <w:left w:val="none" w:sz="0" w:space="0" w:color="auto"/>
            <w:bottom w:val="none" w:sz="0" w:space="0" w:color="auto"/>
            <w:right w:val="none" w:sz="0" w:space="0" w:color="auto"/>
          </w:divBdr>
          <w:divsChild>
            <w:div w:id="1255624249">
              <w:marLeft w:val="0"/>
              <w:marRight w:val="0"/>
              <w:marTop w:val="0"/>
              <w:marBottom w:val="0"/>
              <w:divBdr>
                <w:top w:val="none" w:sz="0" w:space="0" w:color="auto"/>
                <w:left w:val="none" w:sz="0" w:space="0" w:color="auto"/>
                <w:bottom w:val="none" w:sz="0" w:space="0" w:color="auto"/>
                <w:right w:val="none" w:sz="0" w:space="0" w:color="auto"/>
              </w:divBdr>
              <w:divsChild>
                <w:div w:id="5001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Retaille</dc:creator>
  <cp:lastModifiedBy>Alain Tellot</cp:lastModifiedBy>
  <cp:revision>5</cp:revision>
  <dcterms:created xsi:type="dcterms:W3CDTF">2016-10-11T16:15:00Z</dcterms:created>
  <dcterms:modified xsi:type="dcterms:W3CDTF">2022-08-01T14:04:00Z</dcterms:modified>
</cp:coreProperties>
</file>